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72A6" w:rsidRDefault="003B72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Style w:val="stitre"/>
          <w:rFonts w:ascii="Arial" w:hAnsi="Arial" w:cs="Arial"/>
          <w:b/>
          <w:bCs/>
          <w:color w:val="FF0000"/>
          <w:sz w:val="28"/>
        </w:rPr>
      </w:pPr>
      <w:r>
        <w:rPr>
          <w:rStyle w:val="stitre"/>
          <w:rFonts w:ascii="Arial" w:hAnsi="Arial" w:cs="Arial"/>
          <w:b/>
          <w:bCs/>
          <w:sz w:val="28"/>
        </w:rPr>
        <w:t xml:space="preserve">Épreuve orale de contrôle en SVT non spécialité </w:t>
      </w:r>
    </w:p>
    <w:p w:rsidR="003B72A6" w:rsidRDefault="00A41D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sz w:val="28"/>
        </w:rPr>
      </w:pPr>
      <w:r>
        <w:rPr>
          <w:rStyle w:val="stitre"/>
          <w:rFonts w:ascii="Arial" w:hAnsi="Arial" w:cs="Arial"/>
          <w:b/>
          <w:bCs/>
          <w:sz w:val="28"/>
        </w:rPr>
        <w:t xml:space="preserve">Sujet N° </w:t>
      </w:r>
      <w:r w:rsidR="00490CEE">
        <w:rPr>
          <w:rStyle w:val="stitre"/>
          <w:rFonts w:ascii="Arial" w:hAnsi="Arial" w:cs="Arial"/>
          <w:b/>
          <w:bCs/>
          <w:sz w:val="28"/>
        </w:rPr>
        <w:t>34</w:t>
      </w:r>
      <w:bookmarkStart w:id="0" w:name="_GoBack"/>
      <w:bookmarkEnd w:id="0"/>
      <w:r w:rsidR="003B72A6">
        <w:rPr>
          <w:rStyle w:val="stitre"/>
          <w:rFonts w:ascii="Arial" w:hAnsi="Arial" w:cs="Arial"/>
          <w:b/>
          <w:bCs/>
          <w:sz w:val="28"/>
        </w:rPr>
        <w:t xml:space="preserve">                    </w:t>
      </w:r>
      <w:r w:rsidR="003B72A6">
        <w:rPr>
          <w:rFonts w:ascii="Arial" w:hAnsi="Arial" w:cs="Arial"/>
          <w:sz w:val="28"/>
        </w:rPr>
        <w:br/>
        <w:t>Temps de préparation : 20 minutes</w:t>
      </w:r>
    </w:p>
    <w:p w:rsidR="003B72A6" w:rsidRDefault="003B72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Durée de présentation orale : 20 minutes</w:t>
      </w:r>
    </w:p>
    <w:p w:rsidR="003B72A6" w:rsidRDefault="003B72A6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Le candidat  traitera les </w:t>
      </w:r>
      <w:r>
        <w:rPr>
          <w:rFonts w:ascii="Arial" w:hAnsi="Arial" w:cs="Arial"/>
          <w:b/>
        </w:rPr>
        <w:t>deux questions.</w:t>
      </w:r>
      <w:r>
        <w:rPr>
          <w:rFonts w:ascii="Arial" w:hAnsi="Arial" w:cs="Arial"/>
        </w:rPr>
        <w:t xml:space="preserve"> Il est possible d’utiliser des feuilles de brouillon durant la préparation, mais la présentation se fera </w:t>
      </w:r>
      <w:r>
        <w:rPr>
          <w:rFonts w:ascii="Arial" w:hAnsi="Arial" w:cs="Arial"/>
          <w:b/>
        </w:rPr>
        <w:t>oralement</w:t>
      </w:r>
      <w:r>
        <w:rPr>
          <w:rFonts w:ascii="Arial" w:hAnsi="Arial" w:cs="Arial"/>
        </w:rPr>
        <w:t>.</w:t>
      </w:r>
    </w:p>
    <w:p w:rsidR="003B72A6" w:rsidRDefault="003B72A6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L’examinateur posera des questions complémentaires durant les échanges.</w:t>
      </w:r>
    </w:p>
    <w:p w:rsidR="003B72A6" w:rsidRDefault="003B72A6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La note sur </w:t>
      </w:r>
      <w:r>
        <w:rPr>
          <w:rFonts w:ascii="Arial" w:hAnsi="Arial" w:cs="Arial"/>
          <w:b/>
        </w:rPr>
        <w:t>20 points</w:t>
      </w:r>
      <w:r>
        <w:rPr>
          <w:rFonts w:ascii="Arial" w:hAnsi="Arial" w:cs="Arial"/>
        </w:rPr>
        <w:t xml:space="preserve"> prendra en compte pour moitié  les </w:t>
      </w:r>
      <w:r>
        <w:rPr>
          <w:rFonts w:ascii="Arial" w:hAnsi="Arial" w:cs="Arial"/>
          <w:b/>
        </w:rPr>
        <w:t>connaissances</w:t>
      </w:r>
      <w:r>
        <w:rPr>
          <w:rFonts w:ascii="Arial" w:hAnsi="Arial" w:cs="Arial"/>
        </w:rPr>
        <w:t xml:space="preserve"> et pour moitié le </w:t>
      </w:r>
      <w:r>
        <w:rPr>
          <w:rFonts w:ascii="Arial" w:hAnsi="Arial" w:cs="Arial"/>
          <w:b/>
        </w:rPr>
        <w:t>raisonnement</w:t>
      </w:r>
      <w:r>
        <w:rPr>
          <w:rFonts w:ascii="Arial" w:hAnsi="Arial" w:cs="Arial"/>
        </w:rPr>
        <w:t xml:space="preserve"> à partir de </w:t>
      </w:r>
      <w:r>
        <w:rPr>
          <w:rFonts w:ascii="Arial" w:hAnsi="Arial" w:cs="Arial"/>
          <w:b/>
        </w:rPr>
        <w:t>l’exploitation des documents</w:t>
      </w:r>
      <w:r>
        <w:rPr>
          <w:rFonts w:ascii="Arial" w:hAnsi="Arial" w:cs="Arial"/>
        </w:rPr>
        <w:t>.</w:t>
      </w:r>
    </w:p>
    <w:p w:rsidR="003B72A6" w:rsidRDefault="003B72A6">
      <w:pPr>
        <w:jc w:val="both"/>
        <w:rPr>
          <w:rFonts w:ascii="Arial" w:hAnsi="Arial" w:cs="Arial"/>
          <w:sz w:val="28"/>
        </w:rPr>
      </w:pPr>
    </w:p>
    <w:p w:rsidR="00C81B1B" w:rsidRPr="00FC517E" w:rsidRDefault="00C81B1B" w:rsidP="00C81B1B">
      <w:pPr>
        <w:jc w:val="both"/>
        <w:rPr>
          <w:rFonts w:ascii="Arial" w:hAnsi="Arial" w:cs="Arial"/>
          <w:b/>
          <w:sz w:val="28"/>
          <w:u w:val="single"/>
        </w:rPr>
      </w:pPr>
      <w:r>
        <w:rPr>
          <w:rFonts w:ascii="Arial" w:hAnsi="Arial" w:cs="Arial"/>
          <w:b/>
          <w:sz w:val="28"/>
          <w:u w:val="single"/>
        </w:rPr>
        <w:t>Question 1</w:t>
      </w:r>
      <w:r w:rsidRPr="00FC517E">
        <w:rPr>
          <w:rFonts w:ascii="Arial" w:hAnsi="Arial" w:cs="Arial"/>
          <w:b/>
          <w:sz w:val="28"/>
          <w:u w:val="single"/>
        </w:rPr>
        <w:t xml:space="preserve"> : </w:t>
      </w:r>
    </w:p>
    <w:p w:rsidR="00C81B1B" w:rsidRPr="00B67512" w:rsidRDefault="00C81B1B" w:rsidP="00C81B1B">
      <w:pPr>
        <w:jc w:val="both"/>
        <w:rPr>
          <w:rFonts w:ascii="Arial" w:hAnsi="Arial" w:cs="Arial"/>
          <w:b/>
          <w:sz w:val="20"/>
          <w:u w:val="single"/>
        </w:rPr>
      </w:pPr>
    </w:p>
    <w:p w:rsidR="00C81B1B" w:rsidRPr="00FC517E" w:rsidRDefault="00C81B1B" w:rsidP="00C81B1B">
      <w:pPr>
        <w:jc w:val="both"/>
        <w:rPr>
          <w:rFonts w:ascii="Arial" w:hAnsi="Arial" w:cs="Arial"/>
        </w:rPr>
      </w:pPr>
      <w:r w:rsidRPr="00FC517E">
        <w:rPr>
          <w:rFonts w:ascii="Arial" w:hAnsi="Arial" w:cs="Arial"/>
        </w:rPr>
        <w:t>La myasthénie se caractérise par une difficulté à contracter efficacement les muscles.</w:t>
      </w:r>
    </w:p>
    <w:p w:rsidR="00C81B1B" w:rsidRPr="00FC517E" w:rsidRDefault="00C81B1B" w:rsidP="00C81B1B">
      <w:pPr>
        <w:jc w:val="both"/>
        <w:rPr>
          <w:rFonts w:ascii="Arial" w:hAnsi="Arial" w:cs="Arial"/>
        </w:rPr>
      </w:pPr>
      <w:r w:rsidRPr="00FC517E">
        <w:rPr>
          <w:rFonts w:ascii="Arial" w:hAnsi="Arial" w:cs="Arial"/>
        </w:rPr>
        <w:t>On mesure les potentiels d’action musculaires, grâce au dispositif représenté sur le document 1.</w:t>
      </w:r>
    </w:p>
    <w:p w:rsidR="00C81B1B" w:rsidRPr="00FC517E" w:rsidRDefault="00C81B1B" w:rsidP="00C81B1B">
      <w:pPr>
        <w:jc w:val="both"/>
        <w:rPr>
          <w:rFonts w:ascii="Arial" w:hAnsi="Arial" w:cs="Arial"/>
        </w:rPr>
      </w:pPr>
    </w:p>
    <w:p w:rsidR="00C81B1B" w:rsidRPr="00B67512" w:rsidRDefault="00C81B1B" w:rsidP="00C81B1B">
      <w:pPr>
        <w:jc w:val="both"/>
        <w:rPr>
          <w:rFonts w:ascii="Arial" w:hAnsi="Arial" w:cs="Arial"/>
          <w:szCs w:val="22"/>
        </w:rPr>
      </w:pPr>
      <w:r w:rsidRPr="00B67512">
        <w:rPr>
          <w:rFonts w:ascii="Arial" w:hAnsi="Arial" w:cs="Arial"/>
          <w:szCs w:val="22"/>
          <w:u w:val="single"/>
        </w:rPr>
        <w:t>Document 1</w:t>
      </w:r>
      <w:r w:rsidRPr="00B67512">
        <w:rPr>
          <w:rFonts w:ascii="Arial" w:hAnsi="Arial" w:cs="Arial"/>
          <w:szCs w:val="22"/>
        </w:rPr>
        <w:t xml:space="preserve"> : Dispositif de mesure et résultats des enregistrements </w:t>
      </w:r>
      <w:r>
        <w:rPr>
          <w:rFonts w:ascii="Arial" w:hAnsi="Arial" w:cs="Arial"/>
        </w:rPr>
        <w:t>d</w:t>
      </w:r>
      <w:r w:rsidRPr="00FC517E">
        <w:rPr>
          <w:rFonts w:ascii="Arial" w:hAnsi="Arial" w:cs="Arial"/>
        </w:rPr>
        <w:t>es potentiels d’action musculaires</w:t>
      </w:r>
      <w:r>
        <w:rPr>
          <w:rFonts w:ascii="Arial" w:hAnsi="Arial" w:cs="Arial"/>
          <w:i/>
          <w:sz w:val="20"/>
          <w:szCs w:val="22"/>
        </w:rPr>
        <w:t xml:space="preserve"> </w:t>
      </w:r>
      <w:r w:rsidRPr="004E0B14">
        <w:rPr>
          <w:rFonts w:ascii="Arial" w:hAnsi="Arial" w:cs="Arial"/>
          <w:szCs w:val="22"/>
        </w:rPr>
        <w:t xml:space="preserve">chez un individu sain et un individu souffrant de myasthénie </w:t>
      </w:r>
      <w:r w:rsidRPr="0012539A">
        <w:rPr>
          <w:rFonts w:ascii="Arial" w:hAnsi="Arial" w:cs="Arial"/>
          <w:i/>
          <w:sz w:val="20"/>
          <w:szCs w:val="22"/>
        </w:rPr>
        <w:t>(d’après Nathan TS)</w:t>
      </w:r>
    </w:p>
    <w:p w:rsidR="00C81B1B" w:rsidRPr="00FC517E" w:rsidRDefault="00C81B1B" w:rsidP="00C81B1B">
      <w:pPr>
        <w:jc w:val="both"/>
      </w:pPr>
    </w:p>
    <w:p w:rsidR="00C81B1B" w:rsidRPr="00FC517E" w:rsidRDefault="00C81B1B" w:rsidP="00C81B1B">
      <w:pPr>
        <w:jc w:val="center"/>
        <w:rPr>
          <w:rFonts w:ascii="Arial" w:hAnsi="Arial" w:cs="Arial"/>
          <w:b/>
          <w:u w:val="single"/>
        </w:rPr>
      </w:pPr>
      <w:r>
        <w:rPr>
          <w:noProof/>
        </w:rPr>
        <w:drawing>
          <wp:inline distT="0" distB="0" distL="0" distR="0">
            <wp:extent cx="3145155" cy="1690370"/>
            <wp:effectExtent l="19050" t="0" r="0" b="0"/>
            <wp:docPr id="6" name="Image 1" descr="img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img01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-20000" contrast="40000"/>
                    </a:blip>
                    <a:srcRect l="1755" r="2412" b="461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155" cy="1690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C517E">
        <w:t xml:space="preserve"> </w:t>
      </w:r>
      <w:r>
        <w:t xml:space="preserve">    </w:t>
      </w:r>
      <w:r>
        <w:rPr>
          <w:noProof/>
        </w:rPr>
        <w:drawing>
          <wp:inline distT="0" distB="0" distL="0" distR="0">
            <wp:extent cx="3262630" cy="1281430"/>
            <wp:effectExtent l="19050" t="0" r="0" b="0"/>
            <wp:docPr id="20" name="Image 1" descr="img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img01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341" t="61024" r="29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2630" cy="1281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1B1B" w:rsidRDefault="00C81B1B" w:rsidP="00C81B1B">
      <w:pPr>
        <w:jc w:val="both"/>
        <w:rPr>
          <w:rFonts w:ascii="Arial" w:hAnsi="Arial" w:cs="Arial"/>
        </w:rPr>
      </w:pPr>
    </w:p>
    <w:p w:rsidR="00C81B1B" w:rsidRDefault="00C81B1B" w:rsidP="00C81B1B">
      <w:pPr>
        <w:jc w:val="both"/>
        <w:rPr>
          <w:rFonts w:ascii="Arial" w:hAnsi="Arial" w:cs="Arial"/>
        </w:rPr>
      </w:pPr>
    </w:p>
    <w:p w:rsidR="00C81B1B" w:rsidRPr="00FC517E" w:rsidRDefault="00C81B1B" w:rsidP="00C81B1B">
      <w:pPr>
        <w:jc w:val="both"/>
        <w:rPr>
          <w:rFonts w:ascii="Arial" w:hAnsi="Arial" w:cs="Arial"/>
        </w:rPr>
      </w:pPr>
    </w:p>
    <w:p w:rsidR="00C81B1B" w:rsidRDefault="00C81B1B" w:rsidP="00C81B1B">
      <w:pPr>
        <w:jc w:val="both"/>
        <w:rPr>
          <w:rFonts w:ascii="Arial" w:hAnsi="Arial" w:cs="Arial"/>
        </w:rPr>
      </w:pPr>
      <w:r w:rsidRPr="00FC517E">
        <w:rPr>
          <w:rFonts w:ascii="Arial" w:hAnsi="Arial" w:cs="Arial"/>
          <w:u w:val="single"/>
        </w:rPr>
        <w:t>Document 2</w:t>
      </w:r>
      <w:r w:rsidRPr="00FC517E">
        <w:rPr>
          <w:rFonts w:ascii="Arial" w:hAnsi="Arial" w:cs="Arial"/>
        </w:rPr>
        <w:t xml:space="preserve"> : </w:t>
      </w:r>
      <w:r>
        <w:rPr>
          <w:rFonts w:ascii="Arial" w:hAnsi="Arial" w:cs="Arial"/>
        </w:rPr>
        <w:t xml:space="preserve">Localisation de </w:t>
      </w:r>
      <w:r w:rsidRPr="00FC517E">
        <w:rPr>
          <w:rFonts w:ascii="Arial" w:hAnsi="Arial" w:cs="Arial"/>
        </w:rPr>
        <w:t xml:space="preserve">l’alpha-bungarotoxine radioactive sur des portions de cellules musculaires </w:t>
      </w:r>
      <w:r w:rsidRPr="0012539A">
        <w:rPr>
          <w:rFonts w:ascii="Arial" w:hAnsi="Arial" w:cs="Arial"/>
          <w:i/>
          <w:sz w:val="20"/>
          <w:szCs w:val="22"/>
        </w:rPr>
        <w:t>(d’après Nathan TS)</w:t>
      </w:r>
    </w:p>
    <w:p w:rsidR="00C81B1B" w:rsidRDefault="00C81B1B" w:rsidP="00C81B1B">
      <w:pPr>
        <w:jc w:val="both"/>
        <w:rPr>
          <w:rFonts w:ascii="Arial" w:hAnsi="Arial" w:cs="Arial"/>
        </w:rPr>
      </w:pPr>
    </w:p>
    <w:p w:rsidR="00C81B1B" w:rsidRPr="00FC517E" w:rsidRDefault="00C81B1B" w:rsidP="00C81B1B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L</w:t>
      </w:r>
      <w:r w:rsidRPr="00FC517E">
        <w:rPr>
          <w:rFonts w:ascii="Arial" w:hAnsi="Arial" w:cs="Arial"/>
        </w:rPr>
        <w:t xml:space="preserve">’alpha-bungarotoxine </w:t>
      </w:r>
      <w:r>
        <w:rPr>
          <w:rFonts w:ascii="Arial" w:hAnsi="Arial" w:cs="Arial"/>
        </w:rPr>
        <w:t xml:space="preserve">est une </w:t>
      </w:r>
      <w:r w:rsidRPr="00FC517E">
        <w:rPr>
          <w:rFonts w:ascii="Arial" w:hAnsi="Arial" w:cs="Arial"/>
        </w:rPr>
        <w:t xml:space="preserve">molécule </w:t>
      </w:r>
      <w:r>
        <w:rPr>
          <w:rFonts w:ascii="Arial" w:hAnsi="Arial" w:cs="Arial"/>
        </w:rPr>
        <w:t>qui se fixe</w:t>
      </w:r>
      <w:r w:rsidRPr="00FC517E">
        <w:rPr>
          <w:rFonts w:ascii="Arial" w:hAnsi="Arial" w:cs="Arial"/>
        </w:rPr>
        <w:t xml:space="preserve"> spécifiquement sur les récepteurs à acétylcholine de la membrane d’une cellule musculaire</w:t>
      </w:r>
      <w:r>
        <w:rPr>
          <w:rFonts w:ascii="Arial" w:hAnsi="Arial" w:cs="Arial"/>
        </w:rPr>
        <w:t xml:space="preserve">. Le dessin ci-dessous montre la localisation de </w:t>
      </w:r>
      <w:r w:rsidRPr="00FC517E">
        <w:rPr>
          <w:rFonts w:ascii="Arial" w:hAnsi="Arial" w:cs="Arial"/>
        </w:rPr>
        <w:t>l’alpha-bungarotoxine radioactive</w:t>
      </w:r>
      <w:r>
        <w:rPr>
          <w:rFonts w:ascii="Arial" w:hAnsi="Arial" w:cs="Arial"/>
        </w:rPr>
        <w:t>,</w:t>
      </w:r>
      <w:r w:rsidRPr="00FC517E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qui apparaît </w:t>
      </w:r>
      <w:r w:rsidRPr="00FC517E">
        <w:rPr>
          <w:rFonts w:ascii="Arial" w:hAnsi="Arial" w:cs="Arial"/>
        </w:rPr>
        <w:t>sous forme de points noirs</w:t>
      </w:r>
      <w:r>
        <w:rPr>
          <w:rFonts w:ascii="Arial" w:hAnsi="Arial" w:cs="Arial"/>
        </w:rPr>
        <w:t>,</w:t>
      </w:r>
      <w:r w:rsidRPr="00FC517E">
        <w:rPr>
          <w:rFonts w:ascii="Arial" w:hAnsi="Arial" w:cs="Arial"/>
        </w:rPr>
        <w:t xml:space="preserve"> chez un individu sain (A) et my</w:t>
      </w:r>
      <w:r>
        <w:rPr>
          <w:rFonts w:ascii="Arial" w:hAnsi="Arial" w:cs="Arial"/>
        </w:rPr>
        <w:t>asthénique (B)</w:t>
      </w:r>
      <w:r w:rsidRPr="00FC517E">
        <w:rPr>
          <w:rFonts w:ascii="Arial" w:hAnsi="Arial" w:cs="Arial"/>
        </w:rPr>
        <w:t>.</w:t>
      </w:r>
    </w:p>
    <w:p w:rsidR="00C81B1B" w:rsidRDefault="00C81B1B" w:rsidP="00C81B1B">
      <w:pPr>
        <w:jc w:val="both"/>
      </w:pPr>
    </w:p>
    <w:p w:rsidR="00C81B1B" w:rsidRPr="00FC517E" w:rsidRDefault="00C81B1B" w:rsidP="00C81B1B">
      <w:pPr>
        <w:jc w:val="both"/>
      </w:pPr>
    </w:p>
    <w:p w:rsidR="00C81B1B" w:rsidRPr="00FC517E" w:rsidRDefault="00C81B1B" w:rsidP="00C81B1B">
      <w:pPr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4114800" cy="1468755"/>
            <wp:effectExtent l="19050" t="0" r="0" b="0"/>
            <wp:docPr id="7" name="Image 2" descr="img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 descr="img01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r="14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1468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1B1B" w:rsidRDefault="00C81B1B" w:rsidP="00C81B1B">
      <w:pPr>
        <w:rPr>
          <w:sz w:val="20"/>
          <w:szCs w:val="20"/>
        </w:rPr>
      </w:pPr>
    </w:p>
    <w:p w:rsidR="00C81B1B" w:rsidRPr="00FC517E" w:rsidRDefault="00C81B1B" w:rsidP="00C81B1B">
      <w:pPr>
        <w:rPr>
          <w:sz w:val="20"/>
          <w:szCs w:val="20"/>
        </w:rPr>
      </w:pPr>
    </w:p>
    <w:p w:rsidR="00C81B1B" w:rsidRPr="00FC517E" w:rsidRDefault="00C81B1B" w:rsidP="00C81B1B"/>
    <w:p w:rsidR="00C81B1B" w:rsidRPr="004E0B14" w:rsidRDefault="00C81B1B" w:rsidP="00C81B1B">
      <w:pPr>
        <w:tabs>
          <w:tab w:val="left" w:pos="3569"/>
        </w:tabs>
        <w:jc w:val="both"/>
        <w:rPr>
          <w:rFonts w:ascii="Arial" w:hAnsi="Arial" w:cs="Arial"/>
          <w:b/>
        </w:rPr>
      </w:pPr>
      <w:r w:rsidRPr="004E0B14">
        <w:rPr>
          <w:rFonts w:ascii="Arial" w:hAnsi="Arial" w:cs="Arial"/>
          <w:b/>
        </w:rPr>
        <w:t>A partir de l’</w:t>
      </w:r>
      <w:r>
        <w:rPr>
          <w:rFonts w:ascii="Arial" w:hAnsi="Arial" w:cs="Arial"/>
          <w:b/>
        </w:rPr>
        <w:t>analyse des documents, expliquer</w:t>
      </w:r>
      <w:r w:rsidRPr="004E0B14">
        <w:rPr>
          <w:rFonts w:ascii="Arial" w:hAnsi="Arial" w:cs="Arial"/>
          <w:b/>
        </w:rPr>
        <w:t xml:space="preserve"> quelle peut être l’origine de la myasthénie.</w:t>
      </w:r>
    </w:p>
    <w:p w:rsidR="00BA7CF3" w:rsidRDefault="00BA7CF3" w:rsidP="00BA7CF3">
      <w:pPr>
        <w:tabs>
          <w:tab w:val="left" w:pos="3569"/>
        </w:tabs>
        <w:rPr>
          <w:rFonts w:ascii="Arial" w:hAnsi="Arial" w:cs="Arial"/>
          <w:b/>
        </w:rPr>
      </w:pPr>
    </w:p>
    <w:p w:rsidR="003B72A6" w:rsidRPr="0001525A" w:rsidRDefault="00BA7CF3" w:rsidP="0001525A">
      <w:pPr>
        <w:rPr>
          <w:rFonts w:ascii="Arial" w:hAnsi="Arial" w:cs="Arial"/>
          <w:b/>
          <w:sz w:val="28"/>
          <w:u w:val="single"/>
        </w:rPr>
      </w:pPr>
      <w:r>
        <w:rPr>
          <w:rFonts w:ascii="Arial" w:hAnsi="Arial" w:cs="Arial"/>
          <w:b/>
          <w:sz w:val="28"/>
          <w:u w:val="single"/>
        </w:rPr>
        <w:lastRenderedPageBreak/>
        <w:t>Question 2</w:t>
      </w:r>
      <w:r w:rsidR="003B72A6">
        <w:rPr>
          <w:rFonts w:ascii="Arial" w:hAnsi="Arial" w:cs="Arial"/>
          <w:b/>
          <w:sz w:val="28"/>
          <w:u w:val="single"/>
        </w:rPr>
        <w:t xml:space="preserve"> : </w:t>
      </w:r>
    </w:p>
    <w:p w:rsidR="00A1608D" w:rsidRDefault="00A1608D">
      <w:pPr>
        <w:rPr>
          <w:rFonts w:ascii="Arial" w:hAnsi="Arial" w:cs="Arial"/>
        </w:rPr>
      </w:pPr>
    </w:p>
    <w:p w:rsidR="003B72A6" w:rsidRPr="0048013A" w:rsidRDefault="0048013A" w:rsidP="00A1608D">
      <w:pPr>
        <w:jc w:val="both"/>
        <w:rPr>
          <w:rFonts w:ascii="Arial" w:hAnsi="Arial" w:cs="Arial"/>
        </w:rPr>
      </w:pPr>
      <w:r w:rsidRPr="0048013A">
        <w:rPr>
          <w:rFonts w:ascii="Arial" w:hAnsi="Arial" w:cs="Arial"/>
        </w:rPr>
        <w:t>La subduction de la lithosphère océanique a pour conséquence la fermeture d’un océan.</w:t>
      </w:r>
    </w:p>
    <w:p w:rsidR="003B72A6" w:rsidRDefault="003B72A6">
      <w:pPr>
        <w:jc w:val="center"/>
        <w:rPr>
          <w:rFonts w:ascii="Arial Rounded MT Bold" w:hAnsi="Arial Rounded MT Bold"/>
          <w:sz w:val="20"/>
          <w:szCs w:val="20"/>
        </w:rPr>
      </w:pPr>
    </w:p>
    <w:p w:rsidR="0048013A" w:rsidRPr="00C9397B" w:rsidRDefault="0048013A" w:rsidP="00746C0D">
      <w:pPr>
        <w:jc w:val="both"/>
        <w:rPr>
          <w:rFonts w:ascii="Arial" w:hAnsi="Arial" w:cs="Arial"/>
        </w:rPr>
      </w:pPr>
      <w:r w:rsidRPr="00BA7CF3">
        <w:rPr>
          <w:rFonts w:ascii="Arial" w:hAnsi="Arial" w:cs="Arial"/>
          <w:u w:val="single"/>
        </w:rPr>
        <w:t>Document 1</w:t>
      </w:r>
      <w:r w:rsidRPr="006571A8">
        <w:rPr>
          <w:rFonts w:ascii="Arial" w:hAnsi="Arial" w:cs="Arial"/>
        </w:rPr>
        <w:t xml:space="preserve"> : Vieillissement de la lithosphère océanique, épaisseur et densité </w:t>
      </w:r>
      <w:r w:rsidRPr="00C9397B">
        <w:rPr>
          <w:rFonts w:ascii="Arial" w:hAnsi="Arial" w:cs="Arial"/>
          <w:i/>
          <w:sz w:val="20"/>
        </w:rPr>
        <w:t>(</w:t>
      </w:r>
      <w:r w:rsidR="00C9397B" w:rsidRPr="00C9397B">
        <w:rPr>
          <w:rFonts w:ascii="Arial" w:hAnsi="Arial" w:cs="Arial"/>
          <w:i/>
          <w:sz w:val="20"/>
        </w:rPr>
        <w:t xml:space="preserve">d’après banque de schéma svt </w:t>
      </w:r>
      <w:r w:rsidRPr="00C9397B">
        <w:rPr>
          <w:rFonts w:ascii="Arial" w:hAnsi="Arial" w:cs="Arial"/>
          <w:i/>
          <w:sz w:val="20"/>
        </w:rPr>
        <w:t>ac-dijon)</w:t>
      </w:r>
    </w:p>
    <w:p w:rsidR="0048013A" w:rsidRDefault="00A1608D" w:rsidP="00C9397B">
      <w:pPr>
        <w:jc w:val="center"/>
        <w:rPr>
          <w:rFonts w:ascii="Arial Rounded MT Bold" w:hAnsi="Arial Rounded MT Bold"/>
          <w:sz w:val="20"/>
          <w:szCs w:val="20"/>
        </w:rPr>
      </w:pPr>
      <w:r w:rsidRPr="00A1608D">
        <w:rPr>
          <w:noProof/>
        </w:rPr>
        <w:drawing>
          <wp:inline distT="0" distB="0" distL="0" distR="0">
            <wp:extent cx="6541218" cy="1908313"/>
            <wp:effectExtent l="0" t="0" r="0" b="0"/>
            <wp:docPr id="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1625" b="4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1218" cy="1908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54C9" w:rsidRDefault="00F954C9">
      <w:pPr>
        <w:rPr>
          <w:rFonts w:ascii="Arial Rounded MT Bold" w:hAnsi="Arial Rounded MT Bold"/>
          <w:sz w:val="20"/>
          <w:szCs w:val="20"/>
        </w:rPr>
      </w:pPr>
    </w:p>
    <w:p w:rsidR="0048013A" w:rsidRDefault="00705405" w:rsidP="00C9397B">
      <w:pPr>
        <w:jc w:val="both"/>
        <w:rPr>
          <w:rFonts w:ascii="Arial" w:hAnsi="Arial" w:cs="Arial"/>
          <w:i/>
          <w:sz w:val="20"/>
          <w:szCs w:val="22"/>
        </w:rPr>
      </w:pPr>
      <w:r w:rsidRPr="00C9397B">
        <w:rPr>
          <w:rFonts w:ascii="Arial" w:hAnsi="Arial" w:cs="Arial"/>
          <w:szCs w:val="22"/>
          <w:u w:val="single"/>
        </w:rPr>
        <w:t>Document 2</w:t>
      </w:r>
      <w:r w:rsidR="003B7357" w:rsidRPr="00C9397B">
        <w:rPr>
          <w:rFonts w:ascii="Arial" w:hAnsi="Arial" w:cs="Arial"/>
          <w:szCs w:val="22"/>
          <w:u w:val="single"/>
        </w:rPr>
        <w:t>a</w:t>
      </w:r>
      <w:r w:rsidR="00C9397B">
        <w:rPr>
          <w:rFonts w:ascii="Arial" w:hAnsi="Arial" w:cs="Arial"/>
          <w:szCs w:val="22"/>
        </w:rPr>
        <w:t> </w:t>
      </w:r>
      <w:r w:rsidRPr="00C9397B">
        <w:rPr>
          <w:rFonts w:ascii="Arial" w:hAnsi="Arial" w:cs="Arial"/>
          <w:szCs w:val="22"/>
        </w:rPr>
        <w:t>: Domaines de stabilité des minéraux constituant les gabbros de la lithosphère océanique plongeante lors de l'expansion océanique puis de la subduction</w:t>
      </w:r>
      <w:r w:rsidR="00B56F44" w:rsidRPr="00C9397B">
        <w:rPr>
          <w:rFonts w:ascii="Arial" w:hAnsi="Arial" w:cs="Arial"/>
          <w:szCs w:val="22"/>
        </w:rPr>
        <w:t xml:space="preserve"> </w:t>
      </w:r>
      <w:r w:rsidR="00B56F44" w:rsidRPr="00C9397B">
        <w:rPr>
          <w:rFonts w:ascii="Arial" w:hAnsi="Arial" w:cs="Arial"/>
          <w:i/>
          <w:sz w:val="20"/>
          <w:szCs w:val="22"/>
        </w:rPr>
        <w:t>(</w:t>
      </w:r>
      <w:r w:rsidR="00C9397B" w:rsidRPr="00C9397B">
        <w:rPr>
          <w:rFonts w:ascii="Arial" w:hAnsi="Arial" w:cs="Arial"/>
          <w:i/>
          <w:sz w:val="20"/>
          <w:szCs w:val="22"/>
        </w:rPr>
        <w:t xml:space="preserve">d’après </w:t>
      </w:r>
      <w:r w:rsidR="00B56F44" w:rsidRPr="00C9397B">
        <w:rPr>
          <w:rFonts w:ascii="Arial" w:hAnsi="Arial" w:cs="Arial"/>
          <w:i/>
          <w:sz w:val="20"/>
          <w:szCs w:val="22"/>
        </w:rPr>
        <w:t>E</w:t>
      </w:r>
      <w:r w:rsidRPr="00C9397B">
        <w:rPr>
          <w:rFonts w:ascii="Arial" w:hAnsi="Arial" w:cs="Arial"/>
          <w:i/>
          <w:sz w:val="20"/>
          <w:szCs w:val="22"/>
        </w:rPr>
        <w:t>duscol)</w:t>
      </w:r>
    </w:p>
    <w:p w:rsidR="00C9397B" w:rsidRPr="00C9397B" w:rsidRDefault="00C9397B" w:rsidP="00C9397B">
      <w:pPr>
        <w:jc w:val="both"/>
        <w:rPr>
          <w:rFonts w:ascii="Arial" w:hAnsi="Arial" w:cs="Arial"/>
          <w:sz w:val="16"/>
          <w:szCs w:val="22"/>
        </w:rPr>
      </w:pPr>
    </w:p>
    <w:p w:rsidR="0048013A" w:rsidRPr="00C9397B" w:rsidRDefault="007F1F1F" w:rsidP="00C9397B">
      <w:pPr>
        <w:jc w:val="center"/>
        <w:rPr>
          <w:rFonts w:ascii="Arial Rounded MT Bold" w:hAnsi="Arial Rounded MT Bold"/>
          <w:sz w:val="22"/>
          <w:szCs w:val="20"/>
        </w:rPr>
      </w:pPr>
      <w:r w:rsidRPr="00C9397B">
        <w:rPr>
          <w:noProof/>
          <w:sz w:val="28"/>
        </w:rPr>
        <w:drawing>
          <wp:inline distT="0" distB="0" distL="0" distR="0">
            <wp:extent cx="6153371" cy="3580060"/>
            <wp:effectExtent l="19050" t="0" r="0" b="0"/>
            <wp:docPr id="118" name="Imag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659" cy="35790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571A8" w:rsidRPr="00C9397B" w:rsidRDefault="006571A8">
      <w:pPr>
        <w:rPr>
          <w:rFonts w:ascii="Arial Rounded MT Bold" w:hAnsi="Arial Rounded MT Bold"/>
          <w:sz w:val="22"/>
          <w:szCs w:val="20"/>
        </w:rPr>
      </w:pPr>
    </w:p>
    <w:p w:rsidR="00705405" w:rsidRPr="0001525A" w:rsidRDefault="00705405" w:rsidP="00C9397B">
      <w:pPr>
        <w:jc w:val="both"/>
        <w:rPr>
          <w:rFonts w:ascii="Arial" w:hAnsi="Arial" w:cs="Arial"/>
          <w:sz w:val="22"/>
          <w:szCs w:val="22"/>
        </w:rPr>
      </w:pPr>
      <w:r w:rsidRPr="00C9397B">
        <w:rPr>
          <w:rFonts w:ascii="Arial" w:hAnsi="Arial" w:cs="Arial"/>
          <w:szCs w:val="22"/>
          <w:u w:val="single"/>
        </w:rPr>
        <w:t>Docum</w:t>
      </w:r>
      <w:r w:rsidR="003B7357" w:rsidRPr="00C9397B">
        <w:rPr>
          <w:rFonts w:ascii="Arial" w:hAnsi="Arial" w:cs="Arial"/>
          <w:szCs w:val="22"/>
          <w:u w:val="single"/>
        </w:rPr>
        <w:t>ent 2b</w:t>
      </w:r>
      <w:r w:rsidRPr="00C9397B">
        <w:rPr>
          <w:rFonts w:ascii="Arial" w:hAnsi="Arial" w:cs="Arial"/>
          <w:szCs w:val="22"/>
        </w:rPr>
        <w:t xml:space="preserve"> : </w:t>
      </w:r>
      <w:r w:rsidR="0001525A" w:rsidRPr="00C9397B">
        <w:rPr>
          <w:rFonts w:ascii="Arial" w:hAnsi="Arial" w:cs="Arial"/>
          <w:szCs w:val="22"/>
        </w:rPr>
        <w:t>Caractéristiques de 3 méta</w:t>
      </w:r>
      <w:r w:rsidRPr="00C9397B">
        <w:rPr>
          <w:rFonts w:ascii="Arial" w:hAnsi="Arial" w:cs="Arial"/>
          <w:szCs w:val="22"/>
        </w:rPr>
        <w:t>gabb</w:t>
      </w:r>
      <w:r w:rsidR="00C9397B" w:rsidRPr="00C9397B">
        <w:rPr>
          <w:rFonts w:ascii="Arial" w:hAnsi="Arial" w:cs="Arial"/>
          <w:szCs w:val="22"/>
        </w:rPr>
        <w:t>ros de la lithosphère océanique</w:t>
      </w:r>
      <w:r w:rsidR="002740A1" w:rsidRPr="00C9397B">
        <w:rPr>
          <w:rFonts w:ascii="Arial" w:hAnsi="Arial" w:cs="Arial"/>
          <w:szCs w:val="22"/>
        </w:rPr>
        <w:t xml:space="preserve"> </w:t>
      </w:r>
      <w:r w:rsidR="002740A1" w:rsidRPr="00C9397B">
        <w:rPr>
          <w:rFonts w:ascii="Arial" w:hAnsi="Arial" w:cs="Arial"/>
          <w:i/>
          <w:sz w:val="20"/>
          <w:szCs w:val="22"/>
        </w:rPr>
        <w:t>(</w:t>
      </w:r>
      <w:r w:rsidR="00C9397B" w:rsidRPr="00C9397B">
        <w:rPr>
          <w:rFonts w:ascii="Arial" w:hAnsi="Arial" w:cs="Arial"/>
          <w:i/>
          <w:sz w:val="20"/>
          <w:szCs w:val="22"/>
        </w:rPr>
        <w:t xml:space="preserve">d’après </w:t>
      </w:r>
      <w:r w:rsidR="002740A1" w:rsidRPr="00C9397B">
        <w:rPr>
          <w:rFonts w:ascii="Arial" w:hAnsi="Arial" w:cs="Arial"/>
          <w:i/>
          <w:sz w:val="20"/>
          <w:szCs w:val="22"/>
        </w:rPr>
        <w:t>ABC</w:t>
      </w:r>
      <w:r w:rsidR="00DE0983" w:rsidRPr="00C9397B">
        <w:rPr>
          <w:rFonts w:ascii="Arial" w:hAnsi="Arial" w:cs="Arial"/>
          <w:i/>
          <w:sz w:val="20"/>
          <w:szCs w:val="22"/>
        </w:rPr>
        <w:t xml:space="preserve"> </w:t>
      </w:r>
      <w:r w:rsidR="002740A1" w:rsidRPr="00C9397B">
        <w:rPr>
          <w:rFonts w:ascii="Arial" w:hAnsi="Arial" w:cs="Arial"/>
          <w:i/>
          <w:sz w:val="20"/>
          <w:szCs w:val="22"/>
        </w:rPr>
        <w:t>Bac Nathan)</w:t>
      </w:r>
    </w:p>
    <w:p w:rsidR="00705405" w:rsidRPr="00C9397B" w:rsidRDefault="0001525A" w:rsidP="00C9397B">
      <w:pPr>
        <w:jc w:val="both"/>
        <w:rPr>
          <w:rFonts w:ascii="Arial" w:hAnsi="Arial" w:cs="Arial"/>
          <w:szCs w:val="22"/>
        </w:rPr>
      </w:pPr>
      <w:r w:rsidRPr="00C9397B">
        <w:rPr>
          <w:rFonts w:ascii="Arial" w:hAnsi="Arial" w:cs="Arial"/>
          <w:szCs w:val="22"/>
        </w:rPr>
        <w:t>Un méta</w:t>
      </w:r>
      <w:r w:rsidR="003B7357" w:rsidRPr="00C9397B">
        <w:rPr>
          <w:rFonts w:ascii="Arial" w:hAnsi="Arial" w:cs="Arial"/>
          <w:szCs w:val="22"/>
        </w:rPr>
        <w:t>gabbro est un gabbro ayant subi</w:t>
      </w:r>
      <w:r w:rsidR="00705405" w:rsidRPr="00C9397B">
        <w:rPr>
          <w:rFonts w:ascii="Arial" w:hAnsi="Arial" w:cs="Arial"/>
          <w:szCs w:val="22"/>
        </w:rPr>
        <w:t xml:space="preserve"> des transformations minéralogiques.</w:t>
      </w:r>
    </w:p>
    <w:p w:rsidR="00705405" w:rsidRPr="0001525A" w:rsidRDefault="00705405">
      <w:pPr>
        <w:rPr>
          <w:rFonts w:ascii="Arial" w:hAnsi="Arial" w:cs="Arial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35"/>
        <w:gridCol w:w="5078"/>
        <w:gridCol w:w="1993"/>
      </w:tblGrid>
      <w:tr w:rsidR="00705405" w:rsidRPr="00C9397B" w:rsidTr="003B72A6">
        <w:tc>
          <w:tcPr>
            <w:tcW w:w="3535" w:type="dxa"/>
          </w:tcPr>
          <w:p w:rsidR="00705405" w:rsidRPr="00C9397B" w:rsidRDefault="00705405" w:rsidP="003B72A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C9397B">
              <w:rPr>
                <w:rFonts w:ascii="Arial" w:hAnsi="Arial" w:cs="Arial"/>
                <w:b/>
                <w:sz w:val="22"/>
                <w:szCs w:val="22"/>
              </w:rPr>
              <w:t>Roche</w:t>
            </w:r>
          </w:p>
        </w:tc>
        <w:tc>
          <w:tcPr>
            <w:tcW w:w="5078" w:type="dxa"/>
          </w:tcPr>
          <w:p w:rsidR="00705405" w:rsidRPr="00C9397B" w:rsidRDefault="00705405" w:rsidP="003B72A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C9397B">
              <w:rPr>
                <w:rFonts w:ascii="Arial" w:hAnsi="Arial" w:cs="Arial"/>
                <w:b/>
                <w:sz w:val="22"/>
                <w:szCs w:val="22"/>
              </w:rPr>
              <w:t>Composition minéralogique</w:t>
            </w:r>
          </w:p>
        </w:tc>
        <w:tc>
          <w:tcPr>
            <w:tcW w:w="1993" w:type="dxa"/>
          </w:tcPr>
          <w:p w:rsidR="00705405" w:rsidRPr="00C9397B" w:rsidRDefault="00705405" w:rsidP="003B72A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C9397B">
              <w:rPr>
                <w:rFonts w:ascii="Arial" w:hAnsi="Arial" w:cs="Arial"/>
                <w:b/>
                <w:sz w:val="22"/>
                <w:szCs w:val="22"/>
              </w:rPr>
              <w:t>Densité</w:t>
            </w:r>
          </w:p>
        </w:tc>
      </w:tr>
      <w:tr w:rsidR="00705405" w:rsidRPr="0001525A" w:rsidTr="003B72A6">
        <w:tc>
          <w:tcPr>
            <w:tcW w:w="3535" w:type="dxa"/>
          </w:tcPr>
          <w:p w:rsidR="00705405" w:rsidRPr="0001525A" w:rsidRDefault="0001525A" w:rsidP="003B72A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Méta</w:t>
            </w:r>
            <w:r w:rsidR="00705405" w:rsidRPr="0001525A">
              <w:rPr>
                <w:rFonts w:ascii="Arial" w:hAnsi="Arial" w:cs="Arial"/>
                <w:sz w:val="22"/>
                <w:szCs w:val="22"/>
              </w:rPr>
              <w:t>gabbro 1</w:t>
            </w:r>
          </w:p>
        </w:tc>
        <w:tc>
          <w:tcPr>
            <w:tcW w:w="5078" w:type="dxa"/>
          </w:tcPr>
          <w:p w:rsidR="00705405" w:rsidRPr="0001525A" w:rsidRDefault="00370192" w:rsidP="003B72A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1525A">
              <w:rPr>
                <w:rFonts w:ascii="Arial" w:hAnsi="Arial" w:cs="Arial"/>
                <w:sz w:val="22"/>
                <w:szCs w:val="22"/>
              </w:rPr>
              <w:t>Plagioclase, chlorite, actinote</w:t>
            </w:r>
          </w:p>
        </w:tc>
        <w:tc>
          <w:tcPr>
            <w:tcW w:w="1993" w:type="dxa"/>
          </w:tcPr>
          <w:p w:rsidR="00705405" w:rsidRPr="0001525A" w:rsidRDefault="00370192" w:rsidP="003B72A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1525A">
              <w:rPr>
                <w:rFonts w:ascii="Arial" w:hAnsi="Arial" w:cs="Arial"/>
                <w:sz w:val="22"/>
                <w:szCs w:val="22"/>
              </w:rPr>
              <w:t>2,9</w:t>
            </w:r>
          </w:p>
        </w:tc>
      </w:tr>
      <w:tr w:rsidR="00705405" w:rsidRPr="0001525A" w:rsidTr="003B72A6">
        <w:tc>
          <w:tcPr>
            <w:tcW w:w="3535" w:type="dxa"/>
          </w:tcPr>
          <w:p w:rsidR="00705405" w:rsidRPr="0001525A" w:rsidRDefault="0001525A" w:rsidP="003B72A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Méta</w:t>
            </w:r>
            <w:r w:rsidR="00370192" w:rsidRPr="0001525A">
              <w:rPr>
                <w:rFonts w:ascii="Arial" w:hAnsi="Arial" w:cs="Arial"/>
                <w:sz w:val="22"/>
                <w:szCs w:val="22"/>
              </w:rPr>
              <w:t>gabbro 2</w:t>
            </w:r>
          </w:p>
        </w:tc>
        <w:tc>
          <w:tcPr>
            <w:tcW w:w="5078" w:type="dxa"/>
          </w:tcPr>
          <w:p w:rsidR="00705405" w:rsidRPr="0001525A" w:rsidRDefault="00370192" w:rsidP="003B72A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1525A">
              <w:rPr>
                <w:rFonts w:ascii="Arial" w:hAnsi="Arial" w:cs="Arial"/>
                <w:sz w:val="22"/>
                <w:szCs w:val="22"/>
              </w:rPr>
              <w:t>Plagioclase, glaucophane</w:t>
            </w:r>
          </w:p>
        </w:tc>
        <w:tc>
          <w:tcPr>
            <w:tcW w:w="1993" w:type="dxa"/>
          </w:tcPr>
          <w:p w:rsidR="00705405" w:rsidRPr="0001525A" w:rsidRDefault="00370192" w:rsidP="003B72A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1525A">
              <w:rPr>
                <w:rFonts w:ascii="Arial" w:hAnsi="Arial" w:cs="Arial"/>
                <w:sz w:val="22"/>
                <w:szCs w:val="22"/>
              </w:rPr>
              <w:t>3,1</w:t>
            </w:r>
          </w:p>
        </w:tc>
      </w:tr>
      <w:tr w:rsidR="00705405" w:rsidRPr="0001525A" w:rsidTr="003B72A6">
        <w:tc>
          <w:tcPr>
            <w:tcW w:w="3535" w:type="dxa"/>
          </w:tcPr>
          <w:p w:rsidR="00705405" w:rsidRPr="0001525A" w:rsidRDefault="0001525A" w:rsidP="003B72A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Méta</w:t>
            </w:r>
            <w:r w:rsidR="00370192" w:rsidRPr="0001525A">
              <w:rPr>
                <w:rFonts w:ascii="Arial" w:hAnsi="Arial" w:cs="Arial"/>
                <w:sz w:val="22"/>
                <w:szCs w:val="22"/>
              </w:rPr>
              <w:t>gabbro 3</w:t>
            </w:r>
          </w:p>
        </w:tc>
        <w:tc>
          <w:tcPr>
            <w:tcW w:w="5078" w:type="dxa"/>
          </w:tcPr>
          <w:p w:rsidR="00705405" w:rsidRPr="0001525A" w:rsidRDefault="00370192" w:rsidP="003B72A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1525A">
              <w:rPr>
                <w:rFonts w:ascii="Arial" w:hAnsi="Arial" w:cs="Arial"/>
                <w:sz w:val="22"/>
                <w:szCs w:val="22"/>
              </w:rPr>
              <w:t>Grenat, jadéite, glaucophane, quartz</w:t>
            </w:r>
          </w:p>
        </w:tc>
        <w:tc>
          <w:tcPr>
            <w:tcW w:w="1993" w:type="dxa"/>
          </w:tcPr>
          <w:p w:rsidR="00705405" w:rsidRPr="0001525A" w:rsidRDefault="00370192" w:rsidP="003B72A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1525A">
              <w:rPr>
                <w:rFonts w:ascii="Arial" w:hAnsi="Arial" w:cs="Arial"/>
                <w:sz w:val="22"/>
                <w:szCs w:val="22"/>
              </w:rPr>
              <w:t>3,5</w:t>
            </w:r>
          </w:p>
        </w:tc>
      </w:tr>
    </w:tbl>
    <w:p w:rsidR="00705405" w:rsidRPr="0001525A" w:rsidRDefault="00705405">
      <w:pPr>
        <w:rPr>
          <w:rFonts w:ascii="Arial" w:hAnsi="Arial" w:cs="Arial"/>
          <w:sz w:val="22"/>
          <w:szCs w:val="22"/>
        </w:rPr>
      </w:pPr>
    </w:p>
    <w:p w:rsidR="003B72A6" w:rsidRDefault="003B72A6" w:rsidP="00C9397B">
      <w:pPr>
        <w:rPr>
          <w:rFonts w:ascii="Arial Rounded MT Bold" w:hAnsi="Arial Rounded MT Bold"/>
          <w:sz w:val="20"/>
          <w:szCs w:val="20"/>
        </w:rPr>
      </w:pPr>
    </w:p>
    <w:p w:rsidR="003B72A6" w:rsidRDefault="00C9397B" w:rsidP="00C9397B">
      <w:pPr>
        <w:pStyle w:val="Corpsdetexte"/>
      </w:pPr>
      <w:r>
        <w:t xml:space="preserve">- </w:t>
      </w:r>
      <w:r w:rsidR="00370192">
        <w:t>A partir de l’exploitation du</w:t>
      </w:r>
      <w:r w:rsidR="003B72A6">
        <w:t xml:space="preserve"> document</w:t>
      </w:r>
      <w:r w:rsidR="00370192">
        <w:t xml:space="preserve"> 1</w:t>
      </w:r>
      <w:r w:rsidR="003B72A6">
        <w:t xml:space="preserve">, expliquez </w:t>
      </w:r>
      <w:r w:rsidR="00370192">
        <w:t>comment l’évolution de la densité de la lithosphère océanique peut engendrer sa subduction.</w:t>
      </w:r>
    </w:p>
    <w:p w:rsidR="00C9397B" w:rsidRPr="00C9397B" w:rsidRDefault="00C9397B" w:rsidP="00C9397B">
      <w:pPr>
        <w:pStyle w:val="Corpsdetexte"/>
        <w:rPr>
          <w:b w:val="0"/>
          <w:sz w:val="12"/>
          <w:u w:val="single"/>
        </w:rPr>
      </w:pPr>
    </w:p>
    <w:p w:rsidR="003B72A6" w:rsidRPr="0001525A" w:rsidRDefault="00C9397B" w:rsidP="00C9397B">
      <w:pPr>
        <w:pStyle w:val="Corpsdetexte"/>
        <w:rPr>
          <w:b w:val="0"/>
          <w:u w:val="single"/>
        </w:rPr>
      </w:pPr>
      <w:r>
        <w:t xml:space="preserve">- </w:t>
      </w:r>
      <w:r w:rsidR="003B7357">
        <w:t>A partir de l’exploitation des</w:t>
      </w:r>
      <w:r w:rsidR="00370192">
        <w:t xml:space="preserve"> document</w:t>
      </w:r>
      <w:r w:rsidR="003B7357">
        <w:t>s</w:t>
      </w:r>
      <w:r w:rsidR="00370192">
        <w:t xml:space="preserve"> 2</w:t>
      </w:r>
      <w:r w:rsidR="003B7357">
        <w:t xml:space="preserve">a et </w:t>
      </w:r>
      <w:r w:rsidR="00746C0D">
        <w:t>2</w:t>
      </w:r>
      <w:r w:rsidR="003B7357">
        <w:t>b</w:t>
      </w:r>
      <w:r w:rsidR="00370192">
        <w:t xml:space="preserve">, expliquez comment </w:t>
      </w:r>
      <w:r w:rsidR="00C63588">
        <w:t xml:space="preserve">les </w:t>
      </w:r>
      <w:r w:rsidR="002740A1">
        <w:t>transformations</w:t>
      </w:r>
      <w:r w:rsidR="00C63588">
        <w:t xml:space="preserve"> de la lithosphère océanique entretiennent cette subduction.</w:t>
      </w:r>
    </w:p>
    <w:sectPr w:rsidR="003B72A6" w:rsidRPr="0001525A" w:rsidSect="00F0725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Rounded MT Bold">
    <w:altName w:val="Nyala"/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9CC3065"/>
    <w:multiLevelType w:val="hybridMultilevel"/>
    <w:tmpl w:val="280486BA"/>
    <w:lvl w:ilvl="0" w:tplc="4D14553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b/>
        <w:u w:val="none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7"/>
  <w:proofState w:spelling="clean" w:grammar="clean"/>
  <w:defaultTabStop w:val="708"/>
  <w:hyphenationZone w:val="425"/>
  <w:drawingGridHorizontalSpacing w:val="120"/>
  <w:displayHorizontalDrawingGridEvery w:val="2"/>
  <w:noPunctuationKerning/>
  <w:characterSpacingControl w:val="doNotCompress"/>
  <w:compat>
    <w:compatSetting w:name="compatibilityMode" w:uri="http://schemas.microsoft.com/office/word" w:val="12"/>
  </w:compat>
  <w:rsids>
    <w:rsidRoot w:val="00E56B83"/>
    <w:rsid w:val="0001525A"/>
    <w:rsid w:val="000162E4"/>
    <w:rsid w:val="000C4DF0"/>
    <w:rsid w:val="002740A1"/>
    <w:rsid w:val="002947A5"/>
    <w:rsid w:val="003003F0"/>
    <w:rsid w:val="00370192"/>
    <w:rsid w:val="003A4CBC"/>
    <w:rsid w:val="003B72A6"/>
    <w:rsid w:val="003B7357"/>
    <w:rsid w:val="0048013A"/>
    <w:rsid w:val="00490CEE"/>
    <w:rsid w:val="004C0038"/>
    <w:rsid w:val="005B5E31"/>
    <w:rsid w:val="006571A8"/>
    <w:rsid w:val="00705405"/>
    <w:rsid w:val="00746C0D"/>
    <w:rsid w:val="007F1F1F"/>
    <w:rsid w:val="0098454B"/>
    <w:rsid w:val="00A1608D"/>
    <w:rsid w:val="00A41D76"/>
    <w:rsid w:val="00A4655A"/>
    <w:rsid w:val="00B40E85"/>
    <w:rsid w:val="00B56F44"/>
    <w:rsid w:val="00BA7CF3"/>
    <w:rsid w:val="00C62CC3"/>
    <w:rsid w:val="00C63588"/>
    <w:rsid w:val="00C81B1B"/>
    <w:rsid w:val="00C9397B"/>
    <w:rsid w:val="00CA473E"/>
    <w:rsid w:val="00DD0B88"/>
    <w:rsid w:val="00DE0983"/>
    <w:rsid w:val="00E56B83"/>
    <w:rsid w:val="00F0725E"/>
    <w:rsid w:val="00F95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0725E"/>
    <w:rPr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stitre">
    <w:name w:val="stitre"/>
    <w:basedOn w:val="Policepardfaut"/>
    <w:rsid w:val="00F0725E"/>
  </w:style>
  <w:style w:type="paragraph" w:styleId="Corpsdetexte">
    <w:name w:val="Body Text"/>
    <w:basedOn w:val="Normal"/>
    <w:link w:val="CorpsdetexteCar"/>
    <w:semiHidden/>
    <w:rsid w:val="00F0725E"/>
    <w:pPr>
      <w:jc w:val="both"/>
    </w:pPr>
    <w:rPr>
      <w:rFonts w:ascii="Arial" w:hAnsi="Arial" w:cs="Arial"/>
      <w:b/>
    </w:rPr>
  </w:style>
  <w:style w:type="paragraph" w:styleId="Corpsdetexte2">
    <w:name w:val="Body Text 2"/>
    <w:basedOn w:val="Normal"/>
    <w:semiHidden/>
    <w:rsid w:val="00F0725E"/>
    <w:rPr>
      <w:rFonts w:ascii="Comic Sans MS" w:hAnsi="Comic Sans MS"/>
      <w:b/>
      <w:i/>
      <w:sz w:val="22"/>
    </w:rPr>
  </w:style>
  <w:style w:type="character" w:customStyle="1" w:styleId="Corpsdetexte2Car">
    <w:name w:val="Corps de texte 2 Car"/>
    <w:rsid w:val="00F0725E"/>
    <w:rPr>
      <w:rFonts w:ascii="Comic Sans MS" w:hAnsi="Comic Sans MS"/>
      <w:b/>
      <w:i/>
      <w:sz w:val="22"/>
      <w:szCs w:val="24"/>
    </w:rPr>
  </w:style>
  <w:style w:type="paragraph" w:styleId="Titre">
    <w:name w:val="Title"/>
    <w:basedOn w:val="Normal"/>
    <w:qFormat/>
    <w:rsid w:val="00F0725E"/>
    <w:pPr>
      <w:jc w:val="center"/>
    </w:pPr>
    <w:rPr>
      <w:rFonts w:ascii="Comic Sans MS" w:hAnsi="Comic Sans MS"/>
      <w:b/>
      <w:bCs/>
      <w:sz w:val="20"/>
    </w:rPr>
  </w:style>
  <w:style w:type="character" w:customStyle="1" w:styleId="TitreCar">
    <w:name w:val="Titre Car"/>
    <w:rsid w:val="00F0725E"/>
    <w:rPr>
      <w:rFonts w:ascii="Comic Sans MS" w:hAnsi="Comic Sans MS"/>
      <w:b/>
      <w:bCs/>
      <w:szCs w:val="24"/>
    </w:rPr>
  </w:style>
  <w:style w:type="paragraph" w:styleId="NormalWeb">
    <w:name w:val="Normal (Web)"/>
    <w:basedOn w:val="Normal"/>
    <w:semiHidden/>
    <w:unhideWhenUsed/>
    <w:rsid w:val="00F0725E"/>
    <w:pPr>
      <w:spacing w:before="100" w:beforeAutospacing="1" w:after="100" w:afterAutospacing="1"/>
    </w:pPr>
  </w:style>
  <w:style w:type="character" w:styleId="lev">
    <w:name w:val="Strong"/>
    <w:qFormat/>
    <w:rsid w:val="00F0725E"/>
    <w:rPr>
      <w:b/>
      <w:bCs/>
    </w:rPr>
  </w:style>
  <w:style w:type="paragraph" w:styleId="Sansinterligne">
    <w:name w:val="No Spacing"/>
    <w:qFormat/>
    <w:rsid w:val="00F0725E"/>
    <w:rPr>
      <w:sz w:val="24"/>
      <w:szCs w:val="24"/>
    </w:rPr>
  </w:style>
  <w:style w:type="character" w:customStyle="1" w:styleId="CorpsdetexteCar">
    <w:name w:val="Corps de texte Car"/>
    <w:basedOn w:val="Policepardfaut"/>
    <w:link w:val="Corpsdetexte"/>
    <w:semiHidden/>
    <w:rsid w:val="00DD0B88"/>
    <w:rPr>
      <w:rFonts w:ascii="Arial" w:hAnsi="Arial" w:cs="Arial"/>
      <w:b/>
      <w:sz w:val="24"/>
      <w:szCs w:val="24"/>
    </w:rPr>
  </w:style>
  <w:style w:type="table" w:styleId="Grilledutableau">
    <w:name w:val="Table Grid"/>
    <w:basedOn w:val="TableauNormal"/>
    <w:uiPriority w:val="59"/>
    <w:rsid w:val="0070540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B56F44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56F4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692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390</Words>
  <Characters>2150</Characters>
  <Application>Microsoft Office Word</Application>
  <DocSecurity>0</DocSecurity>
  <Lines>17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Épreuve orale de contrôle</vt:lpstr>
    </vt:vector>
  </TitlesOfParts>
  <Company>Hewlett-Packard</Company>
  <LinksUpToDate>false</LinksUpToDate>
  <CharactersWithSpaces>2535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Épreuve orale de contrôle</dc:title>
  <dc:creator>vdarcy</dc:creator>
  <cp:lastModifiedBy>pela</cp:lastModifiedBy>
  <cp:revision>4</cp:revision>
  <dcterms:created xsi:type="dcterms:W3CDTF">2014-06-23T19:48:00Z</dcterms:created>
  <dcterms:modified xsi:type="dcterms:W3CDTF">2014-06-26T06:28:00Z</dcterms:modified>
</cp:coreProperties>
</file>